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58017" w14:textId="7734822D" w:rsidR="00A0395C" w:rsidRDefault="00000000">
      <w:pPr>
        <w:pStyle w:val="Heading1"/>
      </w:pPr>
      <w:r>
        <w:t xml:space="preserve">Cover Sheet | </w:t>
      </w:r>
      <w:r>
        <w:rPr>
          <w:b/>
        </w:rPr>
        <w:t xml:space="preserve">Observing Metallic and Non-Metallic Character </w:t>
      </w:r>
      <w:r>
        <w:t>(</w:t>
      </w:r>
      <w:r w:rsidR="00EE7254">
        <w:t xml:space="preserve">VCE </w:t>
      </w:r>
      <w:r>
        <w:t>U</w:t>
      </w:r>
      <w:r w:rsidR="00EE7254">
        <w:t xml:space="preserve">nit </w:t>
      </w:r>
      <w:r>
        <w:t>1</w:t>
      </w:r>
      <w:r w:rsidR="00EE7254">
        <w:t xml:space="preserve"> </w:t>
      </w:r>
      <w:r>
        <w:t>AoS1)</w:t>
      </w:r>
    </w:p>
    <w:p w14:paraId="1A6FD27E" w14:textId="77777777" w:rsidR="00A0395C" w:rsidRDefault="00A0395C"/>
    <w:tbl>
      <w:tblPr>
        <w:tblStyle w:val="6"/>
        <w:tblW w:w="104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25"/>
        <w:gridCol w:w="8415"/>
      </w:tblGrid>
      <w:tr w:rsidR="00A0395C" w14:paraId="6C23999B" w14:textId="77777777">
        <w:tc>
          <w:tcPr>
            <w:tcW w:w="2025" w:type="dxa"/>
            <w:shd w:val="clear" w:color="auto" w:fill="auto"/>
            <w:tcMar>
              <w:top w:w="100" w:type="dxa"/>
              <w:left w:w="100" w:type="dxa"/>
              <w:bottom w:w="100" w:type="dxa"/>
              <w:right w:w="100" w:type="dxa"/>
            </w:tcMar>
          </w:tcPr>
          <w:p w14:paraId="4EEAE0F9" w14:textId="77777777" w:rsidR="00A0395C" w:rsidRDefault="00000000">
            <w:pPr>
              <w:widowControl w:val="0"/>
              <w:pBdr>
                <w:top w:val="nil"/>
                <w:left w:val="nil"/>
                <w:bottom w:val="nil"/>
                <w:right w:val="nil"/>
                <w:between w:val="nil"/>
              </w:pBdr>
              <w:spacing w:after="0" w:line="240" w:lineRule="auto"/>
              <w:rPr>
                <w:b/>
              </w:rPr>
            </w:pPr>
            <w:r>
              <w:rPr>
                <w:b/>
              </w:rPr>
              <w:t>Related Key Knowledge or Key Science Skills</w:t>
            </w:r>
          </w:p>
        </w:tc>
        <w:tc>
          <w:tcPr>
            <w:tcW w:w="8415" w:type="dxa"/>
            <w:shd w:val="clear" w:color="auto" w:fill="auto"/>
            <w:tcMar>
              <w:top w:w="100" w:type="dxa"/>
              <w:left w:w="100" w:type="dxa"/>
              <w:bottom w:w="100" w:type="dxa"/>
              <w:right w:w="100" w:type="dxa"/>
            </w:tcMar>
          </w:tcPr>
          <w:p w14:paraId="23C588F3" w14:textId="77777777" w:rsidR="00A0395C" w:rsidRDefault="00000000">
            <w:pPr>
              <w:widowControl w:val="0"/>
              <w:pBdr>
                <w:top w:val="nil"/>
                <w:left w:val="nil"/>
                <w:bottom w:val="nil"/>
                <w:right w:val="nil"/>
                <w:between w:val="nil"/>
              </w:pBdr>
              <w:spacing w:after="0" w:line="240" w:lineRule="auto"/>
            </w:pPr>
            <w:r>
              <w:t>the periodic table as an organisational tool to identify patterns and trends in, and relationships between, the structures (including shell and subshell electronic configurations and atomic radii) and properties (including electronegativity, first ionisation energy, metallic and non-metallic character and reactivity) of elements</w:t>
            </w:r>
          </w:p>
        </w:tc>
      </w:tr>
      <w:tr w:rsidR="00A0395C" w14:paraId="5058A865" w14:textId="77777777">
        <w:tc>
          <w:tcPr>
            <w:tcW w:w="2025" w:type="dxa"/>
            <w:shd w:val="clear" w:color="auto" w:fill="auto"/>
            <w:tcMar>
              <w:top w:w="100" w:type="dxa"/>
              <w:left w:w="100" w:type="dxa"/>
              <w:bottom w:w="100" w:type="dxa"/>
              <w:right w:w="100" w:type="dxa"/>
            </w:tcMar>
          </w:tcPr>
          <w:p w14:paraId="2CC8CC84" w14:textId="77777777" w:rsidR="00A0395C" w:rsidRDefault="00000000">
            <w:pPr>
              <w:widowControl w:val="0"/>
              <w:spacing w:after="0" w:line="240" w:lineRule="auto"/>
              <w:rPr>
                <w:b/>
              </w:rPr>
            </w:pPr>
            <w:r>
              <w:rPr>
                <w:b/>
              </w:rPr>
              <w:t>Recommended time of activity</w:t>
            </w:r>
          </w:p>
        </w:tc>
        <w:tc>
          <w:tcPr>
            <w:tcW w:w="8415" w:type="dxa"/>
            <w:shd w:val="clear" w:color="auto" w:fill="auto"/>
            <w:tcMar>
              <w:top w:w="100" w:type="dxa"/>
              <w:left w:w="100" w:type="dxa"/>
              <w:bottom w:w="100" w:type="dxa"/>
              <w:right w:w="100" w:type="dxa"/>
            </w:tcMar>
          </w:tcPr>
          <w:p w14:paraId="2E5AAB83" w14:textId="77777777" w:rsidR="00A0395C" w:rsidRDefault="00000000">
            <w:pPr>
              <w:widowControl w:val="0"/>
              <w:numPr>
                <w:ilvl w:val="0"/>
                <w:numId w:val="3"/>
              </w:numPr>
              <w:pBdr>
                <w:top w:val="nil"/>
                <w:left w:val="nil"/>
                <w:bottom w:val="nil"/>
                <w:right w:val="nil"/>
                <w:between w:val="nil"/>
              </w:pBdr>
              <w:spacing w:after="0" w:line="240" w:lineRule="auto"/>
              <w:ind w:left="425"/>
            </w:pPr>
            <w:r>
              <w:t>Students understand the patterns and trends in the periodic table. Now can they see any of these trends in the Physical properties?</w:t>
            </w:r>
            <w:r>
              <w:br/>
              <w:t>I used this in the second session of the double, ⅓ to ¼ of the class at the time and discussed. A chance to meet the students and talk a little of chemistry, and how Chemistry is just what we see in the chemicals.</w:t>
            </w:r>
          </w:p>
          <w:p w14:paraId="677285F9" w14:textId="77777777" w:rsidR="00A0395C" w:rsidRDefault="00000000">
            <w:pPr>
              <w:widowControl w:val="0"/>
              <w:numPr>
                <w:ilvl w:val="0"/>
                <w:numId w:val="3"/>
              </w:numPr>
              <w:pBdr>
                <w:top w:val="nil"/>
                <w:left w:val="nil"/>
                <w:bottom w:val="nil"/>
                <w:right w:val="nil"/>
                <w:between w:val="nil"/>
              </w:pBdr>
              <w:spacing w:after="0" w:line="240" w:lineRule="auto"/>
              <w:ind w:left="425"/>
            </w:pPr>
            <w:r>
              <w:t>A chance to go over Metallic and Non-Metallic Character a second time.</w:t>
            </w:r>
          </w:p>
          <w:p w14:paraId="2F8A82F1" w14:textId="77777777" w:rsidR="00A0395C" w:rsidRDefault="00000000">
            <w:pPr>
              <w:widowControl w:val="0"/>
              <w:numPr>
                <w:ilvl w:val="0"/>
                <w:numId w:val="3"/>
              </w:numPr>
              <w:pBdr>
                <w:top w:val="nil"/>
                <w:left w:val="nil"/>
                <w:bottom w:val="nil"/>
                <w:right w:val="nil"/>
                <w:between w:val="nil"/>
              </w:pBdr>
              <w:spacing w:after="0" w:line="240" w:lineRule="auto"/>
              <w:ind w:left="425"/>
            </w:pPr>
            <w:r>
              <w:t>An opportunity to discuss the chemistry</w:t>
            </w:r>
          </w:p>
          <w:p w14:paraId="6FCE1716" w14:textId="77777777" w:rsidR="00A0395C" w:rsidRDefault="00000000">
            <w:pPr>
              <w:widowControl w:val="0"/>
              <w:numPr>
                <w:ilvl w:val="0"/>
                <w:numId w:val="3"/>
              </w:numPr>
              <w:pBdr>
                <w:top w:val="nil"/>
                <w:left w:val="nil"/>
                <w:bottom w:val="nil"/>
                <w:right w:val="nil"/>
                <w:between w:val="nil"/>
              </w:pBdr>
              <w:spacing w:after="0" w:line="240" w:lineRule="auto"/>
              <w:ind w:left="425"/>
            </w:pPr>
            <w:r>
              <w:t>Recap Metals and Non-metals before Bonding Between (Periodic Table and Bonding)</w:t>
            </w:r>
          </w:p>
        </w:tc>
      </w:tr>
      <w:tr w:rsidR="00A0395C" w14:paraId="0093B2B4" w14:textId="77777777">
        <w:tc>
          <w:tcPr>
            <w:tcW w:w="2025" w:type="dxa"/>
            <w:shd w:val="clear" w:color="auto" w:fill="auto"/>
            <w:tcMar>
              <w:top w:w="100" w:type="dxa"/>
              <w:left w:w="100" w:type="dxa"/>
              <w:bottom w:w="100" w:type="dxa"/>
              <w:right w:w="100" w:type="dxa"/>
            </w:tcMar>
          </w:tcPr>
          <w:p w14:paraId="7440F8D7" w14:textId="77777777" w:rsidR="00A0395C" w:rsidRDefault="00000000">
            <w:pPr>
              <w:widowControl w:val="0"/>
              <w:spacing w:after="0" w:line="240" w:lineRule="auto"/>
              <w:rPr>
                <w:b/>
              </w:rPr>
            </w:pPr>
            <w:r>
              <w:rPr>
                <w:b/>
              </w:rPr>
              <w:t>Post Activity Reflection</w:t>
            </w:r>
          </w:p>
        </w:tc>
        <w:tc>
          <w:tcPr>
            <w:tcW w:w="8415" w:type="dxa"/>
            <w:shd w:val="clear" w:color="auto" w:fill="auto"/>
            <w:tcMar>
              <w:top w:w="100" w:type="dxa"/>
              <w:left w:w="100" w:type="dxa"/>
              <w:bottom w:w="100" w:type="dxa"/>
              <w:right w:w="100" w:type="dxa"/>
            </w:tcMar>
          </w:tcPr>
          <w:p w14:paraId="7B973B40" w14:textId="77777777" w:rsidR="00A0395C" w:rsidRDefault="00000000">
            <w:pPr>
              <w:widowControl w:val="0"/>
              <w:numPr>
                <w:ilvl w:val="0"/>
                <w:numId w:val="3"/>
              </w:numPr>
              <w:spacing w:after="0" w:line="240" w:lineRule="auto"/>
              <w:ind w:left="425"/>
            </w:pPr>
            <w:r>
              <w:t>I tightened the lesson for the other Unit 1 &amp; 2 Chemistry Teacher (see V2 file) to focus on the clearer differences).</w:t>
            </w:r>
          </w:p>
          <w:p w14:paraId="73C8FCB5" w14:textId="77777777" w:rsidR="00A0395C" w:rsidRDefault="00000000">
            <w:pPr>
              <w:widowControl w:val="0"/>
              <w:numPr>
                <w:ilvl w:val="0"/>
                <w:numId w:val="3"/>
              </w:numPr>
              <w:spacing w:after="0" w:line="240" w:lineRule="auto"/>
              <w:ind w:left="425"/>
            </w:pPr>
            <w:r>
              <w:t>If I had my time again, at the start of the unit I would define pattern and trends, and then look for patterns and trend in the Physical properties of the elements (before the periodic table trends). I would then circle back at the end of Periodic Table trends, and discuss can we observe any of these trends? Why/why not? Focusing on the second part, and why we can’t (also provides a metal/non-metal recap).</w:t>
            </w:r>
          </w:p>
        </w:tc>
      </w:tr>
    </w:tbl>
    <w:p w14:paraId="3D3B5C1D" w14:textId="77777777" w:rsidR="00A0395C" w:rsidRDefault="00A0395C"/>
    <w:p w14:paraId="29498B45" w14:textId="77777777" w:rsidR="00A0395C" w:rsidRDefault="00000000">
      <w:pPr>
        <w:pStyle w:val="Heading1"/>
      </w:pPr>
      <w:r>
        <w:t>Pre Reading</w:t>
      </w:r>
    </w:p>
    <w:p w14:paraId="0570A6FE" w14:textId="77777777" w:rsidR="00A0395C" w:rsidRDefault="00000000">
      <w:pPr>
        <w:pStyle w:val="Heading2"/>
      </w:pPr>
      <w:r>
        <w:t>Period Trends</w:t>
      </w:r>
    </w:p>
    <w:p w14:paraId="4DC31858" w14:textId="77777777" w:rsidR="00A0395C" w:rsidRDefault="00000000">
      <w:pPr>
        <w:pBdr>
          <w:top w:val="nil"/>
          <w:left w:val="nil"/>
          <w:bottom w:val="nil"/>
          <w:right w:val="nil"/>
          <w:between w:val="nil"/>
        </w:pBdr>
        <w:spacing w:after="0" w:line="240" w:lineRule="auto"/>
        <w:rPr>
          <w:color w:val="000000"/>
        </w:rPr>
      </w:pPr>
      <w:r>
        <w:rPr>
          <w:color w:val="000000"/>
        </w:rPr>
        <w:t xml:space="preserve">Periodic trends are specific patterns that are present in the periodic table that illustrate different aspects of a certain element, including its size and its electronic properties. Major periodic trends </w:t>
      </w:r>
      <w:proofErr w:type="gramStart"/>
      <w:r>
        <w:rPr>
          <w:color w:val="000000"/>
        </w:rPr>
        <w:t>include:</w:t>
      </w:r>
      <w:proofErr w:type="gramEnd"/>
      <w:r>
        <w:rPr>
          <w:color w:val="000000"/>
        </w:rPr>
        <w:t xml:space="preserve"> electronegativity, ionization energy, atomic radius, melting point, and metallic character. </w:t>
      </w:r>
      <w:r>
        <w:rPr>
          <w:color w:val="000000"/>
        </w:rPr>
        <w:br/>
      </w:r>
      <w:r>
        <w:rPr>
          <w:color w:val="000000"/>
        </w:rPr>
        <w:br/>
        <w:t>Periodic trends, arising from the arrangement of the periodic table, provide chemists with an invaluable tool to quickly predict an element's properties. These trends exist because of the similar atomic structure of the elements within their respective group families or periods, and because of the periodic nature of the elements.</w:t>
      </w:r>
    </w:p>
    <w:p w14:paraId="5089B90A" w14:textId="77777777" w:rsidR="00A0395C" w:rsidRDefault="00000000">
      <w:pPr>
        <w:pStyle w:val="Heading2"/>
      </w:pPr>
      <w:r>
        <w:rPr>
          <w:noProof/>
        </w:rPr>
        <w:drawing>
          <wp:anchor distT="114300" distB="114300" distL="114300" distR="114300" simplePos="0" relativeHeight="251658240" behindDoc="0" locked="0" layoutInCell="1" hidden="0" allowOverlap="1" wp14:anchorId="65914965" wp14:editId="11B99278">
            <wp:simplePos x="0" y="0"/>
            <wp:positionH relativeFrom="column">
              <wp:posOffset>3495675</wp:posOffset>
            </wp:positionH>
            <wp:positionV relativeFrom="paragraph">
              <wp:posOffset>347668</wp:posOffset>
            </wp:positionV>
            <wp:extent cx="3155950" cy="1295400"/>
            <wp:effectExtent l="0" t="0" r="0" b="0"/>
            <wp:wrapSquare wrapText="bothSides" distT="114300" distB="114300" distL="114300" distR="114300"/>
            <wp:docPr id="1631134014" name="image2.png" descr="Nonmetallic character &#10;Metallic character "/>
            <wp:cNvGraphicFramePr/>
            <a:graphic xmlns:a="http://schemas.openxmlformats.org/drawingml/2006/main">
              <a:graphicData uri="http://schemas.openxmlformats.org/drawingml/2006/picture">
                <pic:pic xmlns:pic="http://schemas.openxmlformats.org/drawingml/2006/picture">
                  <pic:nvPicPr>
                    <pic:cNvPr id="0" name="image2.png" descr="Nonmetallic character &#10;Metallic character "/>
                    <pic:cNvPicPr preferRelativeResize="0"/>
                  </pic:nvPicPr>
                  <pic:blipFill>
                    <a:blip r:embed="rId6"/>
                    <a:srcRect/>
                    <a:stretch>
                      <a:fillRect/>
                    </a:stretch>
                  </pic:blipFill>
                  <pic:spPr>
                    <a:xfrm>
                      <a:off x="0" y="0"/>
                      <a:ext cx="3155950" cy="1295400"/>
                    </a:xfrm>
                    <a:prstGeom prst="rect">
                      <a:avLst/>
                    </a:prstGeom>
                    <a:ln/>
                  </pic:spPr>
                </pic:pic>
              </a:graphicData>
            </a:graphic>
          </wp:anchor>
        </w:drawing>
      </w:r>
    </w:p>
    <w:p w14:paraId="4E8CA300" w14:textId="77777777" w:rsidR="00A0395C" w:rsidRDefault="00000000">
      <w:pPr>
        <w:pStyle w:val="Heading2"/>
      </w:pPr>
      <w:r>
        <w:t>Metallic and Non-Metallic Character</w:t>
      </w:r>
    </w:p>
    <w:p w14:paraId="04562633" w14:textId="77777777" w:rsidR="00A0395C" w:rsidRDefault="00000000">
      <w:pPr>
        <w:pBdr>
          <w:top w:val="nil"/>
          <w:left w:val="nil"/>
          <w:bottom w:val="nil"/>
          <w:right w:val="nil"/>
          <w:between w:val="nil"/>
        </w:pBdr>
        <w:spacing w:after="0" w:line="240" w:lineRule="auto"/>
        <w:rPr>
          <w:color w:val="000000"/>
        </w:rPr>
      </w:pPr>
      <w:r>
        <w:rPr>
          <w:color w:val="000000"/>
        </w:rPr>
        <w:t>Metallic character refers to the level of reactivity of a metal (or che</w:t>
      </w:r>
      <w:r>
        <w:t>mical properties associated with metals)</w:t>
      </w:r>
      <w:r>
        <w:rPr>
          <w:color w:val="000000"/>
        </w:rPr>
        <w:t xml:space="preserve">. Metals tend to lose electrons in chemical reactions, as indicated by their low ionization energies. Within a compound, metal atoms have relatively low attraction for electrons, as indicated by their low electronegativities. By following the trend summary in the figure below, you can see that the most reactive metals would reside in the lower left portion of the periodic table. </w:t>
      </w:r>
    </w:p>
    <w:p w14:paraId="780414EB" w14:textId="77777777" w:rsidR="00A0395C" w:rsidRDefault="00A0395C">
      <w:pPr>
        <w:pBdr>
          <w:top w:val="nil"/>
          <w:left w:val="nil"/>
          <w:bottom w:val="nil"/>
          <w:right w:val="nil"/>
          <w:between w:val="nil"/>
        </w:pBdr>
        <w:spacing w:after="0" w:line="240" w:lineRule="auto"/>
      </w:pPr>
    </w:p>
    <w:p w14:paraId="4FA36385" w14:textId="77777777" w:rsidR="00A0395C" w:rsidRDefault="00000000">
      <w:pPr>
        <w:pBdr>
          <w:top w:val="nil"/>
          <w:left w:val="nil"/>
          <w:bottom w:val="nil"/>
          <w:right w:val="nil"/>
          <w:between w:val="nil"/>
        </w:pBdr>
        <w:spacing w:after="0" w:line="240" w:lineRule="auto"/>
        <w:rPr>
          <w:rFonts w:ascii="Source Sans Pro Light" w:eastAsia="Source Sans Pro Light" w:hAnsi="Source Sans Pro Light" w:cs="Source Sans Pro Light"/>
          <w:color w:val="000000"/>
        </w:rPr>
      </w:pPr>
      <w:r>
        <w:rPr>
          <w:color w:val="000000"/>
        </w:rPr>
        <w:t xml:space="preserve">The most reactive metal is </w:t>
      </w:r>
      <w:proofErr w:type="spellStart"/>
      <w:r>
        <w:rPr>
          <w:color w:val="000000"/>
        </w:rPr>
        <w:t>cesium</w:t>
      </w:r>
      <w:proofErr w:type="spellEnd"/>
      <w:r>
        <w:rPr>
          <w:color w:val="000000"/>
        </w:rPr>
        <w:t xml:space="preserve">, which is not found in nature as a free element. It reacts explosively with water and will ignite spontaneously in air. Francium is below </w:t>
      </w:r>
      <w:proofErr w:type="spellStart"/>
      <w:r>
        <w:rPr>
          <w:color w:val="000000"/>
        </w:rPr>
        <w:t>cesium</w:t>
      </w:r>
      <w:proofErr w:type="spellEnd"/>
      <w:r>
        <w:rPr>
          <w:color w:val="000000"/>
        </w:rPr>
        <w:t xml:space="preserve"> in the alkali metal group, but is so rare that most of its properties have never been observed.</w:t>
      </w:r>
      <w:r>
        <w:rPr>
          <w:color w:val="000000"/>
        </w:rPr>
        <w:br/>
      </w:r>
    </w:p>
    <w:p w14:paraId="4A2DD196" w14:textId="77777777" w:rsidR="00A0395C" w:rsidRDefault="00000000">
      <w:pPr>
        <w:pBdr>
          <w:top w:val="nil"/>
          <w:left w:val="nil"/>
          <w:bottom w:val="nil"/>
          <w:right w:val="nil"/>
          <w:between w:val="nil"/>
        </w:pBdr>
        <w:spacing w:after="0" w:line="240" w:lineRule="auto"/>
        <w:rPr>
          <w:color w:val="000000"/>
        </w:rPr>
      </w:pPr>
      <w:r>
        <w:rPr>
          <w:color w:val="000000"/>
        </w:rPr>
        <w:t>In general, the properties of metals arise from the fact that they readily lose electrons.</w:t>
      </w:r>
    </w:p>
    <w:p w14:paraId="5ACE5363" w14:textId="77777777" w:rsidR="00A0395C" w:rsidRDefault="00000000">
      <w:pPr>
        <w:pBdr>
          <w:top w:val="nil"/>
          <w:left w:val="nil"/>
          <w:bottom w:val="nil"/>
          <w:right w:val="nil"/>
          <w:between w:val="nil"/>
        </w:pBdr>
        <w:spacing w:after="0" w:line="240" w:lineRule="auto"/>
        <w:rPr>
          <w:color w:val="000000"/>
        </w:rPr>
      </w:pPr>
      <w:r>
        <w:rPr>
          <w:color w:val="000000"/>
        </w:rPr>
        <w:lastRenderedPageBreak/>
        <w:t> </w:t>
      </w:r>
    </w:p>
    <w:p w14:paraId="3861EC62" w14:textId="77777777" w:rsidR="00A0395C" w:rsidRDefault="00000000">
      <w:pPr>
        <w:pBdr>
          <w:top w:val="nil"/>
          <w:left w:val="nil"/>
          <w:bottom w:val="nil"/>
          <w:right w:val="nil"/>
          <w:between w:val="nil"/>
        </w:pBdr>
        <w:spacing w:after="0" w:line="240" w:lineRule="auto"/>
        <w:rPr>
          <w:color w:val="000000"/>
        </w:rPr>
      </w:pPr>
      <w:r>
        <w:t xml:space="preserve">Non-metallic character refers to the level of reactivity of a </w:t>
      </w:r>
      <w:proofErr w:type="gramStart"/>
      <w:r>
        <w:t>non-metals</w:t>
      </w:r>
      <w:proofErr w:type="gramEnd"/>
      <w:r>
        <w:t xml:space="preserve"> (or chemical properties associated with non-metals). </w:t>
      </w:r>
      <w:r>
        <w:rPr>
          <w:color w:val="000000"/>
        </w:rPr>
        <w:t xml:space="preserve">Nonmetals tend to gain electrons in chemical reactions, and have a high attraction for electrons within a compound. The most reactive nonmetals reside in the upper right portion of the periodic table. Since the noble gases are a special group because of their lack of reactivity, the element fluorine is the most reactive nonmetal. It is not found in nature as a free element. Fluorine gas reacts explosively with many other elements and compounds, and </w:t>
      </w:r>
      <w:proofErr w:type="gramStart"/>
      <w:r>
        <w:rPr>
          <w:color w:val="000000"/>
        </w:rPr>
        <w:t>is considered to be</w:t>
      </w:r>
      <w:proofErr w:type="gramEnd"/>
      <w:r>
        <w:rPr>
          <w:color w:val="000000"/>
        </w:rPr>
        <w:t xml:space="preserve"> one of the most dangerous known substances.</w:t>
      </w:r>
    </w:p>
    <w:p w14:paraId="1FB64944" w14:textId="77777777" w:rsidR="00A0395C" w:rsidRDefault="00000000">
      <w:pPr>
        <w:pBdr>
          <w:top w:val="nil"/>
          <w:left w:val="nil"/>
          <w:bottom w:val="nil"/>
          <w:right w:val="nil"/>
          <w:between w:val="nil"/>
        </w:pBdr>
        <w:spacing w:after="0" w:line="240" w:lineRule="auto"/>
        <w:rPr>
          <w:color w:val="000000"/>
        </w:rPr>
      </w:pPr>
      <w:r>
        <w:rPr>
          <w:color w:val="000000"/>
        </w:rPr>
        <w:t> </w:t>
      </w:r>
    </w:p>
    <w:p w14:paraId="2F256B21" w14:textId="77777777" w:rsidR="00A0395C" w:rsidRDefault="00000000">
      <w:pPr>
        <w:pBdr>
          <w:top w:val="nil"/>
          <w:left w:val="nil"/>
          <w:bottom w:val="nil"/>
          <w:right w:val="nil"/>
          <w:between w:val="nil"/>
        </w:pBdr>
        <w:spacing w:after="0" w:line="240" w:lineRule="auto"/>
        <w:rPr>
          <w:color w:val="000000"/>
        </w:rPr>
      </w:pPr>
      <w:r>
        <w:rPr>
          <w:color w:val="000000"/>
        </w:rPr>
        <w:t>Note that there is no clear division between metallic and non-metallic character. As we move across the periodic table, there is an increasing tendency to accept electrons (</w:t>
      </w:r>
      <w:proofErr w:type="spellStart"/>
      <w:r>
        <w:rPr>
          <w:color w:val="000000"/>
        </w:rPr>
        <w:t>nonmetallic</w:t>
      </w:r>
      <w:proofErr w:type="spellEnd"/>
      <w:r>
        <w:rPr>
          <w:color w:val="000000"/>
        </w:rPr>
        <w:t>) and a decrease in the possibility that an atom will give up one or more electrons.</w:t>
      </w:r>
    </w:p>
    <w:p w14:paraId="498B9805" w14:textId="77777777" w:rsidR="00A0395C" w:rsidRDefault="00000000">
      <w:r>
        <w:t xml:space="preserve">Adapted from: </w:t>
      </w:r>
      <w:hyperlink r:id="rId7">
        <w:r w:rsidR="00A0395C">
          <w:rPr>
            <w:color w:val="0563C1"/>
            <w:u w:val="single"/>
          </w:rPr>
          <w:t>https://chem.libretexts.org/Bookshelves/Inorganic_Chemistry/Supplemental_Modules_and_Websites_(Inorganic_Chemistry)/Descriptive_Chemistry/Periodic_Trends_of_Elemental_Properties/Periodic_Trends</w:t>
        </w:r>
      </w:hyperlink>
    </w:p>
    <w:p w14:paraId="0B53D927" w14:textId="77777777" w:rsidR="00A0395C" w:rsidRDefault="00A0395C">
      <w:pPr>
        <w:pStyle w:val="Heading1"/>
      </w:pPr>
    </w:p>
    <w:p w14:paraId="0BE8D11B" w14:textId="77777777" w:rsidR="00F71F53" w:rsidRPr="00F71F53" w:rsidRDefault="00F71F53" w:rsidP="00F71F53"/>
    <w:p w14:paraId="39ABF8DC" w14:textId="77777777" w:rsidR="00F71F53" w:rsidRDefault="00F71F53" w:rsidP="00F71F53">
      <w:r>
        <w:rPr>
          <w:b/>
          <w:bCs/>
        </w:rPr>
        <w:t>A</w:t>
      </w:r>
      <w:r w:rsidRPr="00F71AB2">
        <w:rPr>
          <w:b/>
          <w:bCs/>
        </w:rPr>
        <w:t>ctivity Author</w:t>
      </w:r>
      <w:r>
        <w:rPr>
          <w:b/>
          <w:bCs/>
        </w:rPr>
        <w:t>s</w:t>
      </w:r>
      <w:r>
        <w:t>: Alexander Eastwood, Department of Education, Victoria, and Jarrod Bye, Preston High School, Victoria. More activities and resources available at elementsets.net.</w:t>
      </w:r>
    </w:p>
    <w:p w14:paraId="2ABE5EC6" w14:textId="77777777" w:rsidR="00A0395C" w:rsidRDefault="00A0395C">
      <w:pPr>
        <w:pStyle w:val="Heading1"/>
      </w:pPr>
    </w:p>
    <w:p w14:paraId="64468ED8" w14:textId="77777777" w:rsidR="00A0395C" w:rsidRDefault="00A0395C"/>
    <w:p w14:paraId="01E2E82A" w14:textId="77777777" w:rsidR="00A0395C" w:rsidRDefault="00000000">
      <w:pPr>
        <w:pStyle w:val="Heading1"/>
      </w:pPr>
      <w:r>
        <w:br w:type="page"/>
      </w:r>
    </w:p>
    <w:p w14:paraId="78F131C0" w14:textId="05C290C0" w:rsidR="00A0395C" w:rsidRDefault="00000000">
      <w:pPr>
        <w:pStyle w:val="Heading1"/>
      </w:pPr>
      <w:r>
        <w:lastRenderedPageBreak/>
        <w:t>Observing Metallic and Non-Metallic Character</w:t>
      </w:r>
      <w:r>
        <w:tab/>
      </w:r>
      <w:r>
        <w:tab/>
        <w:t>Name:</w:t>
      </w:r>
    </w:p>
    <w:p w14:paraId="580E902E" w14:textId="77777777" w:rsidR="00A0395C" w:rsidRDefault="00000000">
      <w:pPr>
        <w:pStyle w:val="Heading2"/>
      </w:pPr>
      <w:r>
        <w:t>Pre-Activity</w:t>
      </w:r>
    </w:p>
    <w:p w14:paraId="41BE2807" w14:textId="77777777" w:rsidR="00A0395C" w:rsidRDefault="00000000">
      <w:r>
        <w:t>1. Define the following terms, and list the properties associated with high metallic and high non-metallic character.</w:t>
      </w:r>
    </w:p>
    <w:tbl>
      <w:tblPr>
        <w:tblStyle w:val="5"/>
        <w:tblW w:w="10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90"/>
        <w:gridCol w:w="4365"/>
        <w:gridCol w:w="4500"/>
      </w:tblGrid>
      <w:tr w:rsidR="00A0395C" w14:paraId="6216F445" w14:textId="77777777">
        <w:tc>
          <w:tcPr>
            <w:tcW w:w="1590" w:type="dxa"/>
            <w:vAlign w:val="center"/>
          </w:tcPr>
          <w:p w14:paraId="37125CED" w14:textId="77777777" w:rsidR="00A0395C" w:rsidRDefault="00000000">
            <w:pPr>
              <w:jc w:val="center"/>
              <w:rPr>
                <w:b/>
              </w:rPr>
            </w:pPr>
            <w:r>
              <w:rPr>
                <w:b/>
              </w:rPr>
              <w:t>Term</w:t>
            </w:r>
          </w:p>
        </w:tc>
        <w:tc>
          <w:tcPr>
            <w:tcW w:w="4365" w:type="dxa"/>
            <w:vAlign w:val="center"/>
          </w:tcPr>
          <w:p w14:paraId="5683B568" w14:textId="77777777" w:rsidR="00A0395C" w:rsidRDefault="00000000">
            <w:pPr>
              <w:jc w:val="center"/>
              <w:rPr>
                <w:b/>
              </w:rPr>
            </w:pPr>
            <w:r>
              <w:rPr>
                <w:b/>
              </w:rPr>
              <w:t>Definition</w:t>
            </w:r>
          </w:p>
        </w:tc>
        <w:tc>
          <w:tcPr>
            <w:tcW w:w="4500" w:type="dxa"/>
          </w:tcPr>
          <w:p w14:paraId="15D3314C" w14:textId="77777777" w:rsidR="00A0395C" w:rsidRDefault="00000000">
            <w:pPr>
              <w:jc w:val="center"/>
              <w:rPr>
                <w:b/>
              </w:rPr>
            </w:pPr>
            <w:r>
              <w:rPr>
                <w:b/>
              </w:rPr>
              <w:t>Associated Properties</w:t>
            </w:r>
          </w:p>
        </w:tc>
      </w:tr>
      <w:tr w:rsidR="00A0395C" w14:paraId="203F165D" w14:textId="77777777">
        <w:trPr>
          <w:trHeight w:val="1042"/>
        </w:trPr>
        <w:tc>
          <w:tcPr>
            <w:tcW w:w="1590" w:type="dxa"/>
            <w:vAlign w:val="center"/>
          </w:tcPr>
          <w:p w14:paraId="25A5D5BB" w14:textId="77777777" w:rsidR="00A0395C" w:rsidRDefault="00000000">
            <w:pPr>
              <w:jc w:val="center"/>
            </w:pPr>
            <w:r>
              <w:t>Trend</w:t>
            </w:r>
          </w:p>
        </w:tc>
        <w:tc>
          <w:tcPr>
            <w:tcW w:w="4365" w:type="dxa"/>
            <w:vAlign w:val="center"/>
          </w:tcPr>
          <w:p w14:paraId="66053887" w14:textId="77777777" w:rsidR="00A0395C" w:rsidRDefault="00A0395C">
            <w:pPr>
              <w:jc w:val="center"/>
            </w:pPr>
          </w:p>
        </w:tc>
        <w:tc>
          <w:tcPr>
            <w:tcW w:w="4500" w:type="dxa"/>
            <w:shd w:val="clear" w:color="auto" w:fill="D0CECE"/>
          </w:tcPr>
          <w:p w14:paraId="71568BD3" w14:textId="77777777" w:rsidR="00A0395C" w:rsidRDefault="00A0395C">
            <w:pPr>
              <w:jc w:val="center"/>
            </w:pPr>
          </w:p>
        </w:tc>
      </w:tr>
      <w:tr w:rsidR="00A0395C" w14:paraId="7636FACA" w14:textId="77777777">
        <w:trPr>
          <w:trHeight w:val="1042"/>
        </w:trPr>
        <w:tc>
          <w:tcPr>
            <w:tcW w:w="1590" w:type="dxa"/>
            <w:vAlign w:val="center"/>
          </w:tcPr>
          <w:p w14:paraId="2F49B93D" w14:textId="77777777" w:rsidR="00A0395C" w:rsidRDefault="00000000">
            <w:pPr>
              <w:jc w:val="center"/>
            </w:pPr>
            <w:r>
              <w:t>Metallic Character</w:t>
            </w:r>
          </w:p>
        </w:tc>
        <w:tc>
          <w:tcPr>
            <w:tcW w:w="4365" w:type="dxa"/>
            <w:vAlign w:val="center"/>
          </w:tcPr>
          <w:p w14:paraId="3A542FA1" w14:textId="77777777" w:rsidR="00A0395C" w:rsidRDefault="00A0395C">
            <w:pPr>
              <w:jc w:val="center"/>
            </w:pPr>
          </w:p>
        </w:tc>
        <w:tc>
          <w:tcPr>
            <w:tcW w:w="4500" w:type="dxa"/>
          </w:tcPr>
          <w:p w14:paraId="4AB3FE7E" w14:textId="77777777" w:rsidR="00A0395C" w:rsidRDefault="00A0395C">
            <w:pPr>
              <w:jc w:val="center"/>
            </w:pPr>
          </w:p>
        </w:tc>
      </w:tr>
      <w:tr w:rsidR="00A0395C" w14:paraId="121CA630" w14:textId="77777777">
        <w:trPr>
          <w:trHeight w:val="1127"/>
        </w:trPr>
        <w:tc>
          <w:tcPr>
            <w:tcW w:w="1590" w:type="dxa"/>
            <w:vAlign w:val="center"/>
          </w:tcPr>
          <w:p w14:paraId="3640217A" w14:textId="77777777" w:rsidR="00A0395C" w:rsidRDefault="00000000">
            <w:pPr>
              <w:jc w:val="center"/>
            </w:pPr>
            <w:r>
              <w:t>Non-Metallic Character</w:t>
            </w:r>
          </w:p>
        </w:tc>
        <w:tc>
          <w:tcPr>
            <w:tcW w:w="4365" w:type="dxa"/>
            <w:vAlign w:val="center"/>
          </w:tcPr>
          <w:p w14:paraId="5551162B" w14:textId="77777777" w:rsidR="00A0395C" w:rsidRDefault="00A0395C">
            <w:pPr>
              <w:jc w:val="center"/>
            </w:pPr>
          </w:p>
        </w:tc>
        <w:tc>
          <w:tcPr>
            <w:tcW w:w="4500" w:type="dxa"/>
          </w:tcPr>
          <w:p w14:paraId="22CC4916" w14:textId="77777777" w:rsidR="00A0395C" w:rsidRDefault="00A0395C">
            <w:pPr>
              <w:jc w:val="center"/>
            </w:pPr>
          </w:p>
        </w:tc>
      </w:tr>
    </w:tbl>
    <w:p w14:paraId="70204711" w14:textId="77777777" w:rsidR="00A0395C" w:rsidRDefault="00A0395C"/>
    <w:p w14:paraId="215349E5" w14:textId="77777777" w:rsidR="00A0395C" w:rsidRDefault="00000000">
      <w:pPr>
        <w:pStyle w:val="Heading2"/>
      </w:pPr>
      <w:r>
        <w:t>Activity</w:t>
      </w:r>
    </w:p>
    <w:p w14:paraId="13468D44" w14:textId="77777777" w:rsidR="00A0395C" w:rsidRDefault="00000000">
      <w:r>
        <w:t>2a. Using the physical element set, identify an element with high metallic character, and high non-metallic character. Justify your response referring to the properties of the elements.</w:t>
      </w:r>
    </w:p>
    <w:tbl>
      <w:tblPr>
        <w:tblStyle w:val="4"/>
        <w:tblW w:w="10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45"/>
        <w:gridCol w:w="1860"/>
        <w:gridCol w:w="7335"/>
      </w:tblGrid>
      <w:tr w:rsidR="00A0395C" w14:paraId="0F56E205" w14:textId="77777777">
        <w:tc>
          <w:tcPr>
            <w:tcW w:w="1245" w:type="dxa"/>
            <w:vAlign w:val="center"/>
          </w:tcPr>
          <w:p w14:paraId="14A63097" w14:textId="77777777" w:rsidR="00A0395C" w:rsidRDefault="00A0395C">
            <w:pPr>
              <w:jc w:val="center"/>
            </w:pPr>
          </w:p>
        </w:tc>
        <w:tc>
          <w:tcPr>
            <w:tcW w:w="1860" w:type="dxa"/>
            <w:vAlign w:val="center"/>
          </w:tcPr>
          <w:p w14:paraId="46A2BDE3" w14:textId="77777777" w:rsidR="00A0395C" w:rsidRDefault="00000000">
            <w:pPr>
              <w:jc w:val="center"/>
              <w:rPr>
                <w:b/>
              </w:rPr>
            </w:pPr>
            <w:r>
              <w:rPr>
                <w:b/>
              </w:rPr>
              <w:t>Element</w:t>
            </w:r>
          </w:p>
        </w:tc>
        <w:tc>
          <w:tcPr>
            <w:tcW w:w="7335" w:type="dxa"/>
            <w:vAlign w:val="center"/>
          </w:tcPr>
          <w:p w14:paraId="6C5B8DAC" w14:textId="77777777" w:rsidR="00A0395C" w:rsidRDefault="00000000">
            <w:pPr>
              <w:jc w:val="center"/>
              <w:rPr>
                <w:b/>
              </w:rPr>
            </w:pPr>
            <w:r>
              <w:rPr>
                <w:b/>
              </w:rPr>
              <w:t>Justification</w:t>
            </w:r>
          </w:p>
        </w:tc>
      </w:tr>
      <w:tr w:rsidR="00A0395C" w14:paraId="37BA0777" w14:textId="77777777">
        <w:trPr>
          <w:trHeight w:val="757"/>
        </w:trPr>
        <w:tc>
          <w:tcPr>
            <w:tcW w:w="1245" w:type="dxa"/>
            <w:vAlign w:val="center"/>
          </w:tcPr>
          <w:p w14:paraId="132987E6" w14:textId="77777777" w:rsidR="00A0395C" w:rsidRDefault="00000000">
            <w:pPr>
              <w:jc w:val="center"/>
            </w:pPr>
            <w:r>
              <w:t>Metal</w:t>
            </w:r>
          </w:p>
        </w:tc>
        <w:tc>
          <w:tcPr>
            <w:tcW w:w="1860" w:type="dxa"/>
            <w:vAlign w:val="center"/>
          </w:tcPr>
          <w:p w14:paraId="3B4F513B" w14:textId="77777777" w:rsidR="00A0395C" w:rsidRDefault="00A0395C">
            <w:pPr>
              <w:jc w:val="center"/>
            </w:pPr>
          </w:p>
        </w:tc>
        <w:tc>
          <w:tcPr>
            <w:tcW w:w="7335" w:type="dxa"/>
            <w:vAlign w:val="center"/>
          </w:tcPr>
          <w:p w14:paraId="6CEC13A1" w14:textId="77777777" w:rsidR="00A0395C" w:rsidRDefault="00A0395C">
            <w:pPr>
              <w:jc w:val="center"/>
            </w:pPr>
          </w:p>
        </w:tc>
      </w:tr>
      <w:tr w:rsidR="00A0395C" w14:paraId="4B0A4718" w14:textId="77777777">
        <w:trPr>
          <w:trHeight w:val="1123"/>
        </w:trPr>
        <w:tc>
          <w:tcPr>
            <w:tcW w:w="1245" w:type="dxa"/>
            <w:vAlign w:val="center"/>
          </w:tcPr>
          <w:p w14:paraId="76BD435C" w14:textId="77777777" w:rsidR="00A0395C" w:rsidRDefault="00000000">
            <w:pPr>
              <w:jc w:val="center"/>
            </w:pPr>
            <w:r>
              <w:t>Non-Metal</w:t>
            </w:r>
          </w:p>
        </w:tc>
        <w:tc>
          <w:tcPr>
            <w:tcW w:w="1860" w:type="dxa"/>
            <w:vAlign w:val="center"/>
          </w:tcPr>
          <w:p w14:paraId="55CE062C" w14:textId="77777777" w:rsidR="00A0395C" w:rsidRDefault="00A0395C">
            <w:pPr>
              <w:jc w:val="center"/>
            </w:pPr>
          </w:p>
        </w:tc>
        <w:tc>
          <w:tcPr>
            <w:tcW w:w="7335" w:type="dxa"/>
            <w:vAlign w:val="center"/>
          </w:tcPr>
          <w:p w14:paraId="5BCFB973" w14:textId="77777777" w:rsidR="00A0395C" w:rsidRDefault="00A0395C">
            <w:pPr>
              <w:jc w:val="center"/>
            </w:pPr>
          </w:p>
        </w:tc>
      </w:tr>
    </w:tbl>
    <w:p w14:paraId="64564726" w14:textId="77777777" w:rsidR="00A0395C" w:rsidRDefault="00000000">
      <w:r>
        <w:br/>
        <w:t>3. Using the physical element set, describe the metallic and non-metallic character trends in:</w:t>
      </w:r>
    </w:p>
    <w:p w14:paraId="5CF45811" w14:textId="77777777" w:rsidR="00A0395C" w:rsidRDefault="00000000">
      <w:pPr>
        <w:numPr>
          <w:ilvl w:val="0"/>
          <w:numId w:val="1"/>
        </w:numPr>
      </w:pPr>
      <w:r>
        <w:t xml:space="preserve">the following </w:t>
      </w:r>
      <w:r>
        <w:rPr>
          <w:b/>
        </w:rPr>
        <w:t>Periods</w:t>
      </w:r>
      <w:r>
        <w:t>:</w:t>
      </w:r>
    </w:p>
    <w:tbl>
      <w:tblPr>
        <w:tblStyle w:val="3"/>
        <w:tblW w:w="10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5"/>
        <w:gridCol w:w="1770"/>
        <w:gridCol w:w="7905"/>
      </w:tblGrid>
      <w:tr w:rsidR="00A0395C" w14:paraId="6FBB6A6A" w14:textId="77777777">
        <w:trPr>
          <w:trHeight w:val="284"/>
        </w:trPr>
        <w:tc>
          <w:tcPr>
            <w:tcW w:w="825" w:type="dxa"/>
          </w:tcPr>
          <w:p w14:paraId="24E36728" w14:textId="77777777" w:rsidR="00A0395C" w:rsidRDefault="00000000">
            <w:pPr>
              <w:rPr>
                <w:b/>
              </w:rPr>
            </w:pPr>
            <w:r>
              <w:rPr>
                <w:b/>
              </w:rPr>
              <w:t>Period</w:t>
            </w:r>
          </w:p>
        </w:tc>
        <w:tc>
          <w:tcPr>
            <w:tcW w:w="1770" w:type="dxa"/>
          </w:tcPr>
          <w:p w14:paraId="42F94159" w14:textId="77777777" w:rsidR="00A0395C" w:rsidRDefault="00000000">
            <w:pPr>
              <w:rPr>
                <w:b/>
              </w:rPr>
            </w:pPr>
            <w:r>
              <w:rPr>
                <w:b/>
              </w:rPr>
              <w:t>Elements</w:t>
            </w:r>
          </w:p>
        </w:tc>
        <w:tc>
          <w:tcPr>
            <w:tcW w:w="7905" w:type="dxa"/>
          </w:tcPr>
          <w:p w14:paraId="6F4CC8AC" w14:textId="77777777" w:rsidR="00A0395C" w:rsidRDefault="00000000">
            <w:pPr>
              <w:rPr>
                <w:b/>
              </w:rPr>
            </w:pPr>
            <w:r>
              <w:rPr>
                <w:b/>
              </w:rPr>
              <w:t>Description of the trend in metallic character</w:t>
            </w:r>
          </w:p>
        </w:tc>
      </w:tr>
      <w:tr w:rsidR="00A0395C" w14:paraId="6458F23E" w14:textId="77777777">
        <w:trPr>
          <w:trHeight w:val="777"/>
        </w:trPr>
        <w:tc>
          <w:tcPr>
            <w:tcW w:w="825" w:type="dxa"/>
          </w:tcPr>
          <w:p w14:paraId="03EE4EFC" w14:textId="77777777" w:rsidR="00A0395C" w:rsidRDefault="00000000">
            <w:r>
              <w:t>2</w:t>
            </w:r>
          </w:p>
        </w:tc>
        <w:tc>
          <w:tcPr>
            <w:tcW w:w="1770" w:type="dxa"/>
          </w:tcPr>
          <w:p w14:paraId="6858D15E" w14:textId="77777777" w:rsidR="00A0395C" w:rsidRDefault="00000000">
            <w:r>
              <w:t>B, C, N</w:t>
            </w:r>
          </w:p>
        </w:tc>
        <w:tc>
          <w:tcPr>
            <w:tcW w:w="7905" w:type="dxa"/>
          </w:tcPr>
          <w:p w14:paraId="3264E95A" w14:textId="77777777" w:rsidR="00A0395C" w:rsidRDefault="00A0395C"/>
        </w:tc>
      </w:tr>
      <w:tr w:rsidR="00A0395C" w14:paraId="31E576CB" w14:textId="77777777">
        <w:trPr>
          <w:trHeight w:val="845"/>
        </w:trPr>
        <w:tc>
          <w:tcPr>
            <w:tcW w:w="825" w:type="dxa"/>
          </w:tcPr>
          <w:p w14:paraId="4352187A" w14:textId="77777777" w:rsidR="00A0395C" w:rsidRDefault="00000000">
            <w:r>
              <w:t>3</w:t>
            </w:r>
          </w:p>
        </w:tc>
        <w:tc>
          <w:tcPr>
            <w:tcW w:w="1770" w:type="dxa"/>
          </w:tcPr>
          <w:p w14:paraId="3F81E600" w14:textId="77777777" w:rsidR="00A0395C" w:rsidRDefault="00000000">
            <w:r>
              <w:t>Mg, Al, Si, S</w:t>
            </w:r>
          </w:p>
        </w:tc>
        <w:tc>
          <w:tcPr>
            <w:tcW w:w="7905" w:type="dxa"/>
          </w:tcPr>
          <w:p w14:paraId="75615421" w14:textId="77777777" w:rsidR="00A0395C" w:rsidRDefault="00A0395C"/>
        </w:tc>
      </w:tr>
      <w:tr w:rsidR="00A0395C" w14:paraId="5E2A8EDB" w14:textId="77777777">
        <w:trPr>
          <w:trHeight w:val="971"/>
        </w:trPr>
        <w:tc>
          <w:tcPr>
            <w:tcW w:w="825" w:type="dxa"/>
          </w:tcPr>
          <w:p w14:paraId="4B0B0683" w14:textId="77777777" w:rsidR="00A0395C" w:rsidRDefault="00000000">
            <w:r>
              <w:t>4</w:t>
            </w:r>
          </w:p>
        </w:tc>
        <w:tc>
          <w:tcPr>
            <w:tcW w:w="1770" w:type="dxa"/>
          </w:tcPr>
          <w:p w14:paraId="0105B559" w14:textId="77777777" w:rsidR="00A0395C" w:rsidRDefault="00000000">
            <w:r>
              <w:t>Ti, V, Mn, Fe, Co, Ni, Cu, Zn, Ga, Se</w:t>
            </w:r>
          </w:p>
        </w:tc>
        <w:tc>
          <w:tcPr>
            <w:tcW w:w="7905" w:type="dxa"/>
          </w:tcPr>
          <w:p w14:paraId="530ABE12" w14:textId="77777777" w:rsidR="00A0395C" w:rsidRDefault="00A0395C"/>
        </w:tc>
      </w:tr>
      <w:tr w:rsidR="00A0395C" w14:paraId="77AF3B91" w14:textId="77777777">
        <w:trPr>
          <w:trHeight w:val="984"/>
        </w:trPr>
        <w:tc>
          <w:tcPr>
            <w:tcW w:w="825" w:type="dxa"/>
          </w:tcPr>
          <w:p w14:paraId="21B75674" w14:textId="77777777" w:rsidR="00A0395C" w:rsidRDefault="00000000">
            <w:r>
              <w:t>5</w:t>
            </w:r>
          </w:p>
        </w:tc>
        <w:tc>
          <w:tcPr>
            <w:tcW w:w="1770" w:type="dxa"/>
          </w:tcPr>
          <w:p w14:paraId="117C7364" w14:textId="77777777" w:rsidR="00A0395C" w:rsidRDefault="00000000">
            <w:r>
              <w:t xml:space="preserve">Zr, Nb, Mo, Ag, Cd, In, Sn, Sb, </w:t>
            </w:r>
            <w:proofErr w:type="spellStart"/>
            <w:r>
              <w:t>Te</w:t>
            </w:r>
            <w:proofErr w:type="spellEnd"/>
          </w:p>
        </w:tc>
        <w:tc>
          <w:tcPr>
            <w:tcW w:w="7905" w:type="dxa"/>
          </w:tcPr>
          <w:p w14:paraId="6E636F3C" w14:textId="77777777" w:rsidR="00A0395C" w:rsidRDefault="00A0395C"/>
        </w:tc>
      </w:tr>
      <w:tr w:rsidR="00A0395C" w14:paraId="09EE8E43" w14:textId="77777777">
        <w:trPr>
          <w:trHeight w:val="983"/>
        </w:trPr>
        <w:tc>
          <w:tcPr>
            <w:tcW w:w="825" w:type="dxa"/>
          </w:tcPr>
          <w:p w14:paraId="188D23BD" w14:textId="77777777" w:rsidR="00A0395C" w:rsidRDefault="00000000">
            <w:r>
              <w:t>6</w:t>
            </w:r>
          </w:p>
        </w:tc>
        <w:tc>
          <w:tcPr>
            <w:tcW w:w="1770" w:type="dxa"/>
          </w:tcPr>
          <w:p w14:paraId="79A0B916" w14:textId="77777777" w:rsidR="00A0395C" w:rsidRDefault="00000000">
            <w:r>
              <w:t>Ta, W, Au, Pb, Bi</w:t>
            </w:r>
          </w:p>
        </w:tc>
        <w:tc>
          <w:tcPr>
            <w:tcW w:w="7905" w:type="dxa"/>
          </w:tcPr>
          <w:p w14:paraId="25E9805F" w14:textId="77777777" w:rsidR="00A0395C" w:rsidRDefault="00A0395C"/>
        </w:tc>
      </w:tr>
    </w:tbl>
    <w:p w14:paraId="1FD45A56" w14:textId="77777777" w:rsidR="00A0395C" w:rsidRDefault="00A0395C"/>
    <w:p w14:paraId="38CB434A" w14:textId="77777777" w:rsidR="00282FAC" w:rsidRDefault="00282FAC">
      <w:r>
        <w:br w:type="page"/>
      </w:r>
    </w:p>
    <w:p w14:paraId="309A5F59" w14:textId="1437B945" w:rsidR="00A0395C" w:rsidRDefault="00000000">
      <w:pPr>
        <w:numPr>
          <w:ilvl w:val="0"/>
          <w:numId w:val="2"/>
        </w:numPr>
      </w:pPr>
      <w:r>
        <w:lastRenderedPageBreak/>
        <w:t xml:space="preserve">the following </w:t>
      </w:r>
      <w:r>
        <w:rPr>
          <w:b/>
        </w:rPr>
        <w:t>Groups</w:t>
      </w:r>
      <w:r>
        <w:t>:</w:t>
      </w:r>
    </w:p>
    <w:tbl>
      <w:tblPr>
        <w:tblStyle w:val="2"/>
        <w:tblW w:w="10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0"/>
        <w:gridCol w:w="1725"/>
        <w:gridCol w:w="7905"/>
      </w:tblGrid>
      <w:tr w:rsidR="00A0395C" w14:paraId="6649C65A" w14:textId="77777777">
        <w:trPr>
          <w:trHeight w:val="284"/>
        </w:trPr>
        <w:tc>
          <w:tcPr>
            <w:tcW w:w="870" w:type="dxa"/>
          </w:tcPr>
          <w:p w14:paraId="2D48A576" w14:textId="77777777" w:rsidR="00A0395C" w:rsidRDefault="00000000">
            <w:pPr>
              <w:rPr>
                <w:b/>
              </w:rPr>
            </w:pPr>
            <w:r>
              <w:rPr>
                <w:b/>
              </w:rPr>
              <w:t>Group</w:t>
            </w:r>
          </w:p>
        </w:tc>
        <w:tc>
          <w:tcPr>
            <w:tcW w:w="1725" w:type="dxa"/>
          </w:tcPr>
          <w:p w14:paraId="57006852" w14:textId="77777777" w:rsidR="00A0395C" w:rsidRDefault="00000000">
            <w:pPr>
              <w:rPr>
                <w:b/>
              </w:rPr>
            </w:pPr>
            <w:r>
              <w:rPr>
                <w:b/>
              </w:rPr>
              <w:t>Elements</w:t>
            </w:r>
          </w:p>
        </w:tc>
        <w:tc>
          <w:tcPr>
            <w:tcW w:w="7905" w:type="dxa"/>
          </w:tcPr>
          <w:p w14:paraId="45AF046E" w14:textId="77777777" w:rsidR="00A0395C" w:rsidRDefault="00000000">
            <w:pPr>
              <w:rPr>
                <w:b/>
              </w:rPr>
            </w:pPr>
            <w:r>
              <w:rPr>
                <w:b/>
              </w:rPr>
              <w:t>Description of the trend in metallic character</w:t>
            </w:r>
          </w:p>
        </w:tc>
      </w:tr>
      <w:tr w:rsidR="00A0395C" w14:paraId="79FCD716" w14:textId="77777777">
        <w:trPr>
          <w:trHeight w:val="816"/>
        </w:trPr>
        <w:tc>
          <w:tcPr>
            <w:tcW w:w="870" w:type="dxa"/>
          </w:tcPr>
          <w:p w14:paraId="374B5518" w14:textId="77777777" w:rsidR="00A0395C" w:rsidRDefault="00000000">
            <w:r>
              <w:t>13</w:t>
            </w:r>
          </w:p>
        </w:tc>
        <w:tc>
          <w:tcPr>
            <w:tcW w:w="1725" w:type="dxa"/>
          </w:tcPr>
          <w:p w14:paraId="600C50DC" w14:textId="77777777" w:rsidR="00A0395C" w:rsidRDefault="00000000">
            <w:r>
              <w:t>B, Al, Ga, In</w:t>
            </w:r>
          </w:p>
        </w:tc>
        <w:tc>
          <w:tcPr>
            <w:tcW w:w="7905" w:type="dxa"/>
          </w:tcPr>
          <w:p w14:paraId="5386EB47" w14:textId="77777777" w:rsidR="00A0395C" w:rsidRDefault="00A0395C"/>
        </w:tc>
      </w:tr>
      <w:tr w:rsidR="00A0395C" w14:paraId="1F4E3B86" w14:textId="77777777">
        <w:trPr>
          <w:trHeight w:val="827"/>
        </w:trPr>
        <w:tc>
          <w:tcPr>
            <w:tcW w:w="870" w:type="dxa"/>
          </w:tcPr>
          <w:p w14:paraId="73D44E17" w14:textId="77777777" w:rsidR="00A0395C" w:rsidRDefault="00000000">
            <w:r>
              <w:t>14</w:t>
            </w:r>
          </w:p>
        </w:tc>
        <w:tc>
          <w:tcPr>
            <w:tcW w:w="1725" w:type="dxa"/>
          </w:tcPr>
          <w:p w14:paraId="32C4C629" w14:textId="77777777" w:rsidR="00A0395C" w:rsidRDefault="00000000">
            <w:r>
              <w:t>C, Si, Sn, Pb</w:t>
            </w:r>
          </w:p>
        </w:tc>
        <w:tc>
          <w:tcPr>
            <w:tcW w:w="7905" w:type="dxa"/>
          </w:tcPr>
          <w:p w14:paraId="41F2EBD6" w14:textId="77777777" w:rsidR="00A0395C" w:rsidRDefault="00A0395C"/>
        </w:tc>
      </w:tr>
      <w:tr w:rsidR="00A0395C" w14:paraId="10180C2D" w14:textId="77777777">
        <w:trPr>
          <w:trHeight w:val="839"/>
        </w:trPr>
        <w:tc>
          <w:tcPr>
            <w:tcW w:w="870" w:type="dxa"/>
          </w:tcPr>
          <w:p w14:paraId="174E41CC" w14:textId="77777777" w:rsidR="00A0395C" w:rsidRDefault="00000000">
            <w:r>
              <w:t>15</w:t>
            </w:r>
          </w:p>
        </w:tc>
        <w:tc>
          <w:tcPr>
            <w:tcW w:w="1725" w:type="dxa"/>
          </w:tcPr>
          <w:p w14:paraId="303EF8D7" w14:textId="77777777" w:rsidR="00A0395C" w:rsidRDefault="00000000">
            <w:r>
              <w:t>N, Sb, Bi</w:t>
            </w:r>
          </w:p>
        </w:tc>
        <w:tc>
          <w:tcPr>
            <w:tcW w:w="7905" w:type="dxa"/>
          </w:tcPr>
          <w:p w14:paraId="7ADD1FC0" w14:textId="77777777" w:rsidR="00A0395C" w:rsidRDefault="00A0395C"/>
        </w:tc>
      </w:tr>
      <w:tr w:rsidR="00A0395C" w14:paraId="0511F6C6" w14:textId="77777777">
        <w:trPr>
          <w:trHeight w:val="837"/>
        </w:trPr>
        <w:tc>
          <w:tcPr>
            <w:tcW w:w="870" w:type="dxa"/>
          </w:tcPr>
          <w:p w14:paraId="0597E4C1" w14:textId="77777777" w:rsidR="00A0395C" w:rsidRDefault="00000000">
            <w:r>
              <w:t>16</w:t>
            </w:r>
          </w:p>
        </w:tc>
        <w:tc>
          <w:tcPr>
            <w:tcW w:w="1725" w:type="dxa"/>
          </w:tcPr>
          <w:p w14:paraId="2F2F81C0" w14:textId="77777777" w:rsidR="00A0395C" w:rsidRDefault="00000000">
            <w:r>
              <w:t xml:space="preserve">S, Se, </w:t>
            </w:r>
            <w:proofErr w:type="spellStart"/>
            <w:r>
              <w:t>Te</w:t>
            </w:r>
            <w:proofErr w:type="spellEnd"/>
          </w:p>
        </w:tc>
        <w:tc>
          <w:tcPr>
            <w:tcW w:w="7905" w:type="dxa"/>
          </w:tcPr>
          <w:p w14:paraId="4C918116" w14:textId="77777777" w:rsidR="00A0395C" w:rsidRDefault="00A0395C"/>
        </w:tc>
      </w:tr>
    </w:tbl>
    <w:p w14:paraId="1D34ABE0" w14:textId="77777777" w:rsidR="00A0395C" w:rsidRDefault="00A0395C"/>
    <w:p w14:paraId="08B26EB8" w14:textId="77777777" w:rsidR="00A0395C" w:rsidRDefault="00000000">
      <w:pPr>
        <w:pStyle w:val="Heading2"/>
      </w:pPr>
      <w:r>
        <w:t>Post Activity</w:t>
      </w:r>
    </w:p>
    <w:p w14:paraId="404E411D" w14:textId="77777777" w:rsidR="00A0395C" w:rsidRDefault="00000000">
      <w:r>
        <w:rPr>
          <w:b/>
        </w:rPr>
        <w:t xml:space="preserve">Accuracy: </w:t>
      </w:r>
      <w:r>
        <w:t xml:space="preserve">The extent to which an experimental result obtained from an investigation agrees with the accepted, or ‘true’, value of the </w:t>
      </w:r>
      <w:proofErr w:type="gramStart"/>
      <w:r>
        <w:t>particular quantity</w:t>
      </w:r>
      <w:proofErr w:type="gramEnd"/>
      <w:r>
        <w:t xml:space="preserve"> being measured.</w:t>
      </w:r>
    </w:p>
    <w:p w14:paraId="1524DF30" w14:textId="77777777" w:rsidR="00A0395C" w:rsidRDefault="00000000">
      <w:r>
        <w:t>1a. Do you think the trends observed are an accurate measure of metallic and non-metallic character? Why/why not?</w:t>
      </w:r>
    </w:p>
    <w:p w14:paraId="4292EC42" w14:textId="77777777" w:rsidR="00A0395C" w:rsidRDefault="00000000">
      <w:r>
        <w:t>_______________________________________________________________________________________________</w:t>
      </w:r>
    </w:p>
    <w:p w14:paraId="197E862E" w14:textId="77777777" w:rsidR="00A0395C" w:rsidRDefault="00000000">
      <w:r>
        <w:t>_______________________________________________________________________________________________</w:t>
      </w:r>
    </w:p>
    <w:p w14:paraId="25EE6343" w14:textId="77777777" w:rsidR="00A0395C" w:rsidRDefault="00000000">
      <w:r>
        <w:t>_______________________________________________________________________________________________</w:t>
      </w:r>
    </w:p>
    <w:p w14:paraId="4562BEEE" w14:textId="77777777" w:rsidR="00A0395C" w:rsidRDefault="00000000">
      <w:r>
        <w:t>1b. Describe a more accurate way to measure metallic character or non-metallic character.</w:t>
      </w:r>
    </w:p>
    <w:p w14:paraId="78439623" w14:textId="77777777" w:rsidR="00A0395C" w:rsidRDefault="00000000">
      <w:r>
        <w:t>_______________________________________________________________________________________________</w:t>
      </w:r>
    </w:p>
    <w:p w14:paraId="53E3A936" w14:textId="77777777" w:rsidR="00A0395C" w:rsidRDefault="00000000">
      <w:r>
        <w:t>_______________________________________________________________________________________________</w:t>
      </w:r>
    </w:p>
    <w:p w14:paraId="5FDF570E" w14:textId="77777777" w:rsidR="00A0395C" w:rsidRDefault="00000000">
      <w:r>
        <w:t>_______________________________________________________________________________________________</w:t>
      </w:r>
    </w:p>
    <w:p w14:paraId="161B9725" w14:textId="77777777" w:rsidR="00A0395C" w:rsidRDefault="00A0395C"/>
    <w:p w14:paraId="3B821EDD" w14:textId="77777777" w:rsidR="00A0395C" w:rsidRDefault="00000000">
      <w:r>
        <w:t>4. In Year 7 &amp; 8 you learnt about metals, non-metal and metalloids (properties of metals and non-metals). Using your understanding of metal and non-metal character trends, explain the shapes of the metal, metalloid and non-metal sections.</w:t>
      </w:r>
    </w:p>
    <w:tbl>
      <w:tblPr>
        <w:tblStyle w:val="1"/>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30"/>
        <w:gridCol w:w="6426"/>
      </w:tblGrid>
      <w:tr w:rsidR="00A0395C" w14:paraId="0952A5B1" w14:textId="77777777">
        <w:tc>
          <w:tcPr>
            <w:tcW w:w="4030" w:type="dxa"/>
          </w:tcPr>
          <w:p w14:paraId="09E6D583" w14:textId="77777777" w:rsidR="00A0395C" w:rsidRDefault="00A0395C"/>
          <w:p w14:paraId="7799B22B" w14:textId="77777777" w:rsidR="00A0395C" w:rsidRDefault="00000000">
            <w:r>
              <w:t>__________________________________</w:t>
            </w:r>
          </w:p>
          <w:p w14:paraId="5E550292" w14:textId="77777777" w:rsidR="00A0395C" w:rsidRDefault="00000000">
            <w:r>
              <w:br/>
              <w:t>__________________________________</w:t>
            </w:r>
          </w:p>
          <w:p w14:paraId="7E508AE7" w14:textId="77777777" w:rsidR="00A0395C" w:rsidRDefault="00A0395C"/>
          <w:p w14:paraId="72EDC763" w14:textId="77777777" w:rsidR="00A0395C" w:rsidRDefault="00000000">
            <w:r>
              <w:t>__________________________________</w:t>
            </w:r>
          </w:p>
          <w:p w14:paraId="27070A64" w14:textId="77777777" w:rsidR="00A0395C" w:rsidRDefault="00000000">
            <w:r>
              <w:br/>
              <w:t>__________________________________</w:t>
            </w:r>
            <w:r>
              <w:br/>
            </w:r>
            <w:r>
              <w:br/>
              <w:t>__________________________________</w:t>
            </w:r>
          </w:p>
          <w:p w14:paraId="542667AF" w14:textId="77777777" w:rsidR="00A0395C" w:rsidRDefault="00000000">
            <w:r>
              <w:br/>
              <w:t>__________________________________</w:t>
            </w:r>
          </w:p>
        </w:tc>
        <w:tc>
          <w:tcPr>
            <w:tcW w:w="6426" w:type="dxa"/>
          </w:tcPr>
          <w:p w14:paraId="606477BE" w14:textId="77777777" w:rsidR="00A0395C" w:rsidRDefault="00000000">
            <w:r>
              <w:rPr>
                <w:noProof/>
              </w:rPr>
              <w:drawing>
                <wp:inline distT="0" distB="0" distL="0" distR="0" wp14:anchorId="1734B2DA" wp14:editId="5BBE23F2">
                  <wp:extent cx="3961504" cy="2157516"/>
                  <wp:effectExtent l="0" t="0" r="0" b="0"/>
                  <wp:docPr id="1631134015" name="image1.gif"/>
                  <wp:cNvGraphicFramePr/>
                  <a:graphic xmlns:a="http://schemas.openxmlformats.org/drawingml/2006/main">
                    <a:graphicData uri="http://schemas.openxmlformats.org/drawingml/2006/picture">
                      <pic:pic xmlns:pic="http://schemas.openxmlformats.org/drawingml/2006/picture">
                        <pic:nvPicPr>
                          <pic:cNvPr id="0" name="image1.gif"/>
                          <pic:cNvPicPr preferRelativeResize="0"/>
                        </pic:nvPicPr>
                        <pic:blipFill>
                          <a:blip r:embed="rId8"/>
                          <a:srcRect/>
                          <a:stretch>
                            <a:fillRect/>
                          </a:stretch>
                        </pic:blipFill>
                        <pic:spPr>
                          <a:xfrm>
                            <a:off x="0" y="0"/>
                            <a:ext cx="3961504" cy="2157516"/>
                          </a:xfrm>
                          <a:prstGeom prst="rect">
                            <a:avLst/>
                          </a:prstGeom>
                          <a:ln/>
                        </pic:spPr>
                      </pic:pic>
                    </a:graphicData>
                  </a:graphic>
                </wp:inline>
              </w:drawing>
            </w:r>
          </w:p>
        </w:tc>
      </w:tr>
    </w:tbl>
    <w:p w14:paraId="42AB3FD5" w14:textId="77777777" w:rsidR="00A0395C" w:rsidRDefault="00A0395C"/>
    <w:p w14:paraId="3EBCA1A0" w14:textId="77777777" w:rsidR="00A0395C" w:rsidRDefault="00A0395C"/>
    <w:sectPr w:rsidR="00A0395C">
      <w:pgSz w:w="11906" w:h="16838"/>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ource Sans Pro Light">
    <w:panose1 w:val="020B0403030403020204"/>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C47D2"/>
    <w:multiLevelType w:val="multilevel"/>
    <w:tmpl w:val="1E0AE4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AB02DC2"/>
    <w:multiLevelType w:val="multilevel"/>
    <w:tmpl w:val="5FFEEF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CF71272"/>
    <w:multiLevelType w:val="multilevel"/>
    <w:tmpl w:val="B832E5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81282063">
    <w:abstractNumId w:val="1"/>
  </w:num>
  <w:num w:numId="2" w16cid:durableId="2055543848">
    <w:abstractNumId w:val="0"/>
  </w:num>
  <w:num w:numId="3" w16cid:durableId="13189986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95C"/>
    <w:rsid w:val="00182086"/>
    <w:rsid w:val="00282FAC"/>
    <w:rsid w:val="003F268A"/>
    <w:rsid w:val="00A0395C"/>
    <w:rsid w:val="00EE7254"/>
    <w:rsid w:val="00F71F5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7DEFD0C3"/>
  <w15:docId w15:val="{042B04BF-97A1-9049-9F7C-4BF15B138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AU"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C9C"/>
  </w:style>
  <w:style w:type="paragraph" w:styleId="Heading1">
    <w:name w:val="heading 1"/>
    <w:basedOn w:val="Normal"/>
    <w:next w:val="Normal"/>
    <w:link w:val="Heading1Char"/>
    <w:uiPriority w:val="9"/>
    <w:qFormat/>
    <w:rsid w:val="00FC57B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57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FC5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57B2"/>
    <w:pPr>
      <w:ind w:left="720"/>
      <w:contextualSpacing/>
    </w:pPr>
  </w:style>
  <w:style w:type="character" w:customStyle="1" w:styleId="Heading1Char">
    <w:name w:val="Heading 1 Char"/>
    <w:basedOn w:val="DefaultParagraphFont"/>
    <w:link w:val="Heading1"/>
    <w:uiPriority w:val="9"/>
    <w:rsid w:val="00FC57B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C57B2"/>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A4080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A40803"/>
    <w:rPr>
      <w:color w:val="0563C1" w:themeColor="hyperlink"/>
      <w:u w:val="single"/>
    </w:rPr>
  </w:style>
  <w:style w:type="character" w:styleId="UnresolvedMention">
    <w:name w:val="Unresolved Mention"/>
    <w:basedOn w:val="DefaultParagraphFont"/>
    <w:uiPriority w:val="99"/>
    <w:semiHidden/>
    <w:unhideWhenUsed/>
    <w:rsid w:val="00A40803"/>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6">
    <w:name w:val="6"/>
    <w:basedOn w:val="TableNormal"/>
    <w:tblPr>
      <w:tblStyleRowBandSize w:val="1"/>
      <w:tblStyleColBandSize w:val="1"/>
      <w:tblCellMar>
        <w:top w:w="100" w:type="dxa"/>
        <w:left w:w="100" w:type="dxa"/>
        <w:bottom w:w="100" w:type="dxa"/>
        <w:right w:w="100" w:type="dxa"/>
      </w:tblCellMar>
    </w:tblPr>
  </w:style>
  <w:style w:type="table" w:customStyle="1" w:styleId="5">
    <w:name w:val="5"/>
    <w:basedOn w:val="TableNormal"/>
    <w:pPr>
      <w:spacing w:after="0" w:line="240" w:lineRule="auto"/>
    </w:pPr>
    <w:tblPr>
      <w:tblStyleRowBandSize w:val="1"/>
      <w:tblStyleColBandSize w:val="1"/>
    </w:tblPr>
  </w:style>
  <w:style w:type="table" w:customStyle="1" w:styleId="4">
    <w:name w:val="4"/>
    <w:basedOn w:val="TableNormal"/>
    <w:pPr>
      <w:spacing w:after="0" w:line="240" w:lineRule="auto"/>
    </w:pPr>
    <w:tblPr>
      <w:tblStyleRowBandSize w:val="1"/>
      <w:tblStyleColBandSize w:val="1"/>
    </w:tblPr>
  </w:style>
  <w:style w:type="table" w:customStyle="1" w:styleId="3">
    <w:name w:val="3"/>
    <w:basedOn w:val="TableNormal"/>
    <w:pPr>
      <w:spacing w:after="0" w:line="240" w:lineRule="auto"/>
    </w:pPr>
    <w:tblPr>
      <w:tblStyleRowBandSize w:val="1"/>
      <w:tblStyleColBandSize w:val="1"/>
    </w:tblPr>
  </w:style>
  <w:style w:type="table" w:customStyle="1" w:styleId="2">
    <w:name w:val="2"/>
    <w:basedOn w:val="TableNormal"/>
    <w:pPr>
      <w:spacing w:after="0" w:line="240" w:lineRule="auto"/>
    </w:pPr>
    <w:tblPr>
      <w:tblStyleRowBandSize w:val="1"/>
      <w:tblStyleColBandSize w:val="1"/>
    </w:tblPr>
  </w:style>
  <w:style w:type="table" w:customStyle="1" w:styleId="1">
    <w:name w:val="1"/>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tyles" Target="styles.xml"/><Relationship Id="rId7" Type="http://schemas.openxmlformats.org/officeDocument/2006/relationships/hyperlink" Target="https://chem.libretexts.org/Bookshelves/Inorganic_Chemistry/Supplemental_Modules_and_Websites_(Inorganic_Chemistry)/Descriptive_Chemistry/Periodic_Trends_of_Elemental_Properties/Periodic_Trend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u3PA0x1OFczsJdB8bzqkH9gGuw==">CgMxLjA4AHIhMXQ0V1p2d01HeDZMdURWUUR0dTZiWnZ0ci1OZUEzSHFY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1057</Words>
  <Characters>6028</Characters>
  <Application>Microsoft Office Word</Application>
  <DocSecurity>0</DocSecurity>
  <Lines>50</Lines>
  <Paragraphs>14</Paragraphs>
  <ScaleCrop>false</ScaleCrop>
  <Company/>
  <LinksUpToDate>false</LinksUpToDate>
  <CharactersWithSpaces>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Jarrod Bye</dc:creator>
  <cp:lastModifiedBy>Stuart Batten</cp:lastModifiedBy>
  <cp:revision>4</cp:revision>
  <cp:lastPrinted>2025-02-21T03:30:00Z</cp:lastPrinted>
  <dcterms:created xsi:type="dcterms:W3CDTF">2024-02-05T20:06:00Z</dcterms:created>
  <dcterms:modified xsi:type="dcterms:W3CDTF">2025-02-21T03:30:00Z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0x01010058D64723EA048541BB05EACF0A0BF9D2</vt:lpwstr>
  </property>
</Properties>
</file>